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E0F8CE" w14:textId="77777777" w:rsidR="008D4C21" w:rsidRDefault="003D599B">
      <w:pPr>
        <w:spacing w:after="0" w:line="259" w:lineRule="auto"/>
        <w:ind w:left="0" w:firstLine="0"/>
        <w:jc w:val="center"/>
      </w:pPr>
      <w:r>
        <w:rPr>
          <w:b/>
          <w:color w:val="0A2540"/>
          <w:sz w:val="40"/>
        </w:rPr>
        <w:t>IMPORTANT DISCLAIMER</w:t>
      </w:r>
    </w:p>
    <w:p w14:paraId="40B5C270" w14:textId="77777777" w:rsidR="008D4C21" w:rsidRDefault="003D599B">
      <w:pPr>
        <w:spacing w:after="192" w:line="259" w:lineRule="auto"/>
        <w:ind w:left="0" w:firstLine="0"/>
        <w:jc w:val="center"/>
      </w:pPr>
      <w:r>
        <w:rPr>
          <w:color w:val="4B5563"/>
          <w:sz w:val="20"/>
        </w:rPr>
        <w:t>Not Financial, Investment, Legal or Tax Advice</w:t>
      </w:r>
    </w:p>
    <w:p w14:paraId="17F12718" w14:textId="77777777" w:rsidR="008D4C21" w:rsidRDefault="003D599B">
      <w:pPr>
        <w:spacing w:after="171" w:line="259" w:lineRule="auto"/>
        <w:ind w:left="0" w:firstLine="0"/>
        <w:jc w:val="center"/>
      </w:pPr>
      <w:r>
        <w:rPr>
          <w:color w:val="4B5563"/>
          <w:sz w:val="16"/>
        </w:rPr>
        <w:t>Last updated: 31 July 2026</w:t>
      </w:r>
    </w:p>
    <w:p w14:paraId="519D88F1" w14:textId="77777777" w:rsidR="008D4C21" w:rsidRDefault="003D599B">
      <w:pPr>
        <w:pStyle w:val="Heading1"/>
        <w:ind w:left="350" w:hanging="245"/>
      </w:pPr>
      <w:r>
        <w:t>Educational Templates Only</w:t>
      </w:r>
    </w:p>
    <w:p w14:paraId="239B5BCC" w14:textId="77777777" w:rsidR="008D4C21" w:rsidRDefault="003D599B">
      <w:pPr>
        <w:ind w:left="115"/>
      </w:pPr>
      <w:r>
        <w:t>All products from Enforce-Lab are educational and operational templates. They help you organise your own thinking and work. They are not finished professional advice.</w:t>
      </w:r>
    </w:p>
    <w:p w14:paraId="1A1D5736" w14:textId="77777777" w:rsidR="008D4C21" w:rsidRDefault="003D599B">
      <w:pPr>
        <w:pStyle w:val="Heading1"/>
        <w:ind w:left="350" w:hanging="245"/>
      </w:pPr>
      <w:r>
        <w:t>No Financial or Investment Advice</w:t>
      </w:r>
    </w:p>
    <w:p w14:paraId="72A76BA3" w14:textId="77777777" w:rsidR="008D4C21" w:rsidRDefault="003D599B">
      <w:pPr>
        <w:ind w:left="115"/>
      </w:pPr>
      <w:r>
        <w:t>Nothing we sell is financial product advice, investment advice or a recommendation under the Corporations Act 2001. We are not a financial adviser and do not hold an Australian Financial Services Licence.</w:t>
      </w:r>
    </w:p>
    <w:p w14:paraId="1BD92ED3" w14:textId="77777777" w:rsidR="008D4C21" w:rsidRDefault="003D599B">
      <w:pPr>
        <w:pStyle w:val="Heading1"/>
        <w:ind w:left="350" w:hanging="245"/>
      </w:pPr>
      <w:r>
        <w:t>No Legal or Tax Advice</w:t>
      </w:r>
    </w:p>
    <w:p w14:paraId="75E609A0" w14:textId="77777777" w:rsidR="008D4C21" w:rsidRDefault="003D599B">
      <w:pPr>
        <w:ind w:left="115"/>
      </w:pPr>
      <w:r>
        <w:t>Our materials are not legal advice, tax advice or accounting advice. Rules for businesses, ETFs and investment products are complex. Always get advice from a licensed professional in your jurisdiction.</w:t>
      </w:r>
    </w:p>
    <w:p w14:paraId="150C2914" w14:textId="77777777" w:rsidR="008D4C21" w:rsidRDefault="003D599B">
      <w:pPr>
        <w:pStyle w:val="Heading1"/>
        <w:ind w:left="350" w:hanging="245"/>
      </w:pPr>
      <w:r>
        <w:t>No Guarantee of Results</w:t>
      </w:r>
    </w:p>
    <w:p w14:paraId="0E90919A" w14:textId="77777777" w:rsidR="008D4C21" w:rsidRDefault="003D599B">
      <w:pPr>
        <w:ind w:left="11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DB9F409" wp14:editId="21D3C0DB">
                <wp:simplePos x="0" y="0"/>
                <wp:positionH relativeFrom="page">
                  <wp:posOffset>648000</wp:posOffset>
                </wp:positionH>
                <wp:positionV relativeFrom="page">
                  <wp:posOffset>504000</wp:posOffset>
                </wp:positionV>
                <wp:extent cx="6264001" cy="15240"/>
                <wp:effectExtent l="0" t="0" r="0" b="0"/>
                <wp:wrapTopAndBottom/>
                <wp:docPr id="537" name="Group 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001" cy="15240"/>
                          <a:chOff x="0" y="0"/>
                          <a:chExt cx="6264001" cy="1524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26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4001">
                                <a:moveTo>
                                  <a:pt x="0" y="0"/>
                                </a:moveTo>
                                <a:lnTo>
                                  <a:pt x="6264001" y="0"/>
                                </a:lnTo>
                              </a:path>
                            </a:pathLst>
                          </a:custGeom>
                          <a:ln w="15240" cap="flat">
                            <a:miter lim="127000"/>
                          </a:ln>
                        </wps:spPr>
                        <wps:style>
                          <a:lnRef idx="1">
                            <a:srgbClr val="0A254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7" style="width:493.228pt;height:1.2pt;position:absolute;mso-position-horizontal-relative:page;mso-position-horizontal:absolute;margin-left:51.0236pt;mso-position-vertical-relative:page;margin-top:39.6851pt;" coordsize="62640,152">
                <v:shape id="Shape 6" style="position:absolute;width:62640;height:0;left:0;top:0;" coordsize="6264001,0" path="m0,0l6264001,0">
                  <v:stroke weight="1.2pt" endcap="flat" joinstyle="miter" miterlimit="10" on="true" color="#0a254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9A6541" wp14:editId="652B4454">
                <wp:simplePos x="0" y="0"/>
                <wp:positionH relativeFrom="page">
                  <wp:posOffset>648000</wp:posOffset>
                </wp:positionH>
                <wp:positionV relativeFrom="page">
                  <wp:posOffset>10116000</wp:posOffset>
                </wp:positionV>
                <wp:extent cx="6264001" cy="5080"/>
                <wp:effectExtent l="0" t="0" r="0" b="0"/>
                <wp:wrapTopAndBottom/>
                <wp:docPr id="538" name="Group 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4001" cy="5080"/>
                          <a:chOff x="0" y="0"/>
                          <a:chExt cx="6264001" cy="5080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2640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4001">
                                <a:moveTo>
                                  <a:pt x="0" y="0"/>
                                </a:moveTo>
                                <a:lnTo>
                                  <a:pt x="6264001" y="0"/>
                                </a:lnTo>
                              </a:path>
                            </a:pathLst>
                          </a:custGeom>
                          <a:ln w="5080" cap="flat">
                            <a:miter lim="127000"/>
                          </a:ln>
                        </wps:spPr>
                        <wps:style>
                          <a:lnRef idx="1">
                            <a:srgbClr val="0A254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8" style="width:493.228pt;height:0.4pt;position:absolute;mso-position-horizontal-relative:page;mso-position-horizontal:absolute;margin-left:51.0236pt;mso-position-vertical-relative:page;margin-top:796.535pt;" coordsize="62640,50">
                <v:shape id="Shape 9" style="position:absolute;width:62640;height:0;left:0;top:0;" coordsize="6264001,0" path="m0,0l6264001,0">
                  <v:stroke weight="0.4pt" endcap="flat" joinstyle="miter" miterlimit="10" on="true" color="#0a254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t>Any numbers, projections or examples in the models are illustrations only. You must replace them with your own data and assumptions. Past or projected results do not guarantee future outcomes.</w:t>
      </w:r>
    </w:p>
    <w:p w14:paraId="5B2E704C" w14:textId="77777777" w:rsidR="008D4C21" w:rsidRDefault="003D599B">
      <w:pPr>
        <w:pStyle w:val="Heading1"/>
        <w:ind w:left="350" w:hanging="245"/>
      </w:pPr>
      <w:r>
        <w:t>Your Responsibility</w:t>
      </w:r>
    </w:p>
    <w:p w14:paraId="1F970C05" w14:textId="77777777" w:rsidR="008D4C21" w:rsidRDefault="003D599B">
      <w:pPr>
        <w:ind w:left="115"/>
      </w:pPr>
      <w:r>
        <w:t>You are responsible for checking all formulas and outputs, complying with the law in your area, and getting independent professional advice before making any business or investment decision.</w:t>
      </w:r>
    </w:p>
    <w:p w14:paraId="00B4F1B0" w14:textId="77777777" w:rsidR="008D4C21" w:rsidRDefault="003D599B">
      <w:pPr>
        <w:pStyle w:val="Heading1"/>
        <w:ind w:left="350" w:hanging="245"/>
      </w:pPr>
      <w:r>
        <w:t>Liability</w:t>
      </w:r>
    </w:p>
    <w:p w14:paraId="38A8A68F" w14:textId="77777777" w:rsidR="008D4C21" w:rsidRDefault="003D599B">
      <w:pPr>
        <w:ind w:left="115"/>
      </w:pPr>
      <w:r>
        <w:t>To the fullest extent allowed by law (including the Australian Consumer Law), Enforce-Lab is not liable for losses that arise from using or relying on the products, beyond the amount you paid for the specific product.</w:t>
      </w:r>
    </w:p>
    <w:p w14:paraId="390A8994" w14:textId="77777777" w:rsidR="008D4C21" w:rsidRDefault="003D599B">
      <w:pPr>
        <w:pStyle w:val="Heading1"/>
        <w:ind w:left="350" w:hanging="245"/>
      </w:pPr>
      <w:r>
        <w:t>Contact</w:t>
      </w:r>
    </w:p>
    <w:p w14:paraId="644CB899" w14:textId="77777777" w:rsidR="008D4C21" w:rsidRDefault="003D599B">
      <w:pPr>
        <w:spacing w:after="235"/>
        <w:ind w:left="115"/>
      </w:pPr>
      <w:r>
        <w:t>Questions: rdytwrk@gmail.com</w:t>
      </w:r>
    </w:p>
    <w:p w14:paraId="6E52AA82" w14:textId="77777777" w:rsidR="008D4C21" w:rsidRDefault="003D599B">
      <w:pPr>
        <w:spacing w:after="162" w:line="259" w:lineRule="auto"/>
        <w:ind w:left="12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E942ED" wp14:editId="5AB953F7">
                <wp:extent cx="6111600" cy="6350"/>
                <wp:effectExtent l="0" t="0" r="0" b="0"/>
                <wp:docPr id="540" name="Group 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1600" cy="6350"/>
                          <a:chOff x="0" y="0"/>
                          <a:chExt cx="6111600" cy="6350"/>
                        </a:xfrm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611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600">
                                <a:moveTo>
                                  <a:pt x="0" y="0"/>
                                </a:moveTo>
                                <a:lnTo>
                                  <a:pt x="6111600" y="0"/>
                                </a:lnTo>
                              </a:path>
                            </a:pathLst>
                          </a:custGeom>
                          <a:ln w="6350" cap="rnd">
                            <a:miter lim="127000"/>
                          </a:ln>
                        </wps:spPr>
                        <wps:style>
                          <a:lnRef idx="1">
                            <a:srgbClr val="4B556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40" style="width:481.228pt;height:0.5pt;mso-position-horizontal-relative:char;mso-position-vertical-relative:line" coordsize="61116,63">
                <v:shape id="Shape 39" style="position:absolute;width:61116;height:0;left:0;top:0;" coordsize="6111600,0" path="m0,0l6111600,0">
                  <v:stroke weight="0.5pt" endcap="round" joinstyle="miter" miterlimit="10" on="true" color="#4b5563"/>
                  <v:fill on="false" color="#000000" opacity="0"/>
                </v:shape>
              </v:group>
            </w:pict>
          </mc:Fallback>
        </mc:AlternateContent>
      </w:r>
    </w:p>
    <w:p w14:paraId="42AFAC7D" w14:textId="78A194D2" w:rsidR="008D4C21" w:rsidRDefault="003D599B" w:rsidP="003A5FF1">
      <w:pPr>
        <w:spacing w:after="2412" w:line="259" w:lineRule="auto"/>
        <w:ind w:left="0" w:firstLine="0"/>
        <w:jc w:val="center"/>
      </w:pPr>
      <w:r>
        <w:rPr>
          <w:color w:val="4B5563"/>
          <w:sz w:val="15"/>
        </w:rPr>
        <w:t>© 2026 Enforce-Lab.</w:t>
      </w:r>
      <w:r>
        <w:rPr>
          <w:color w:val="4B5563"/>
          <w:sz w:val="15"/>
        </w:rPr>
        <w:t>. All rights reserved.</w:t>
      </w:r>
      <w:r>
        <w:rPr>
          <w:color w:val="4B5563"/>
          <w:sz w:val="15"/>
        </w:rPr>
        <w:tab/>
        <w:t>Page 1</w:t>
      </w:r>
    </w:p>
    <w:sectPr w:rsidR="008D4C21">
      <w:pgSz w:w="11906" w:h="16838"/>
      <w:pgMar w:top="1440" w:right="1020" w:bottom="144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C7D3B"/>
    <w:multiLevelType w:val="hybridMultilevel"/>
    <w:tmpl w:val="FFFFFFFF"/>
    <w:lvl w:ilvl="0" w:tplc="1ACA0782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A25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0468B6">
      <w:start w:val="1"/>
      <w:numFmt w:val="lowerLetter"/>
      <w:lvlText w:val="%2"/>
      <w:lvlJc w:val="left"/>
      <w:pPr>
        <w:ind w:left="1200"/>
      </w:pPr>
      <w:rPr>
        <w:rFonts w:ascii="Arial" w:eastAsia="Arial" w:hAnsi="Arial" w:cs="Arial"/>
        <w:b/>
        <w:bCs/>
        <w:i w:val="0"/>
        <w:strike w:val="0"/>
        <w:dstrike w:val="0"/>
        <w:color w:val="0A25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1ACED2">
      <w:start w:val="1"/>
      <w:numFmt w:val="lowerRoman"/>
      <w:lvlText w:val="%3"/>
      <w:lvlJc w:val="left"/>
      <w:pPr>
        <w:ind w:left="1920"/>
      </w:pPr>
      <w:rPr>
        <w:rFonts w:ascii="Arial" w:eastAsia="Arial" w:hAnsi="Arial" w:cs="Arial"/>
        <w:b/>
        <w:bCs/>
        <w:i w:val="0"/>
        <w:strike w:val="0"/>
        <w:dstrike w:val="0"/>
        <w:color w:val="0A25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CC1568">
      <w:start w:val="1"/>
      <w:numFmt w:val="decimal"/>
      <w:lvlText w:val="%4"/>
      <w:lvlJc w:val="left"/>
      <w:pPr>
        <w:ind w:left="2640"/>
      </w:pPr>
      <w:rPr>
        <w:rFonts w:ascii="Arial" w:eastAsia="Arial" w:hAnsi="Arial" w:cs="Arial"/>
        <w:b/>
        <w:bCs/>
        <w:i w:val="0"/>
        <w:strike w:val="0"/>
        <w:dstrike w:val="0"/>
        <w:color w:val="0A25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12FF4E">
      <w:start w:val="1"/>
      <w:numFmt w:val="lowerLetter"/>
      <w:lvlText w:val="%5"/>
      <w:lvlJc w:val="left"/>
      <w:pPr>
        <w:ind w:left="3360"/>
      </w:pPr>
      <w:rPr>
        <w:rFonts w:ascii="Arial" w:eastAsia="Arial" w:hAnsi="Arial" w:cs="Arial"/>
        <w:b/>
        <w:bCs/>
        <w:i w:val="0"/>
        <w:strike w:val="0"/>
        <w:dstrike w:val="0"/>
        <w:color w:val="0A25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4A321E">
      <w:start w:val="1"/>
      <w:numFmt w:val="lowerRoman"/>
      <w:lvlText w:val="%6"/>
      <w:lvlJc w:val="left"/>
      <w:pPr>
        <w:ind w:left="4080"/>
      </w:pPr>
      <w:rPr>
        <w:rFonts w:ascii="Arial" w:eastAsia="Arial" w:hAnsi="Arial" w:cs="Arial"/>
        <w:b/>
        <w:bCs/>
        <w:i w:val="0"/>
        <w:strike w:val="0"/>
        <w:dstrike w:val="0"/>
        <w:color w:val="0A25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4B21E">
      <w:start w:val="1"/>
      <w:numFmt w:val="decimal"/>
      <w:lvlText w:val="%7"/>
      <w:lvlJc w:val="left"/>
      <w:pPr>
        <w:ind w:left="4800"/>
      </w:pPr>
      <w:rPr>
        <w:rFonts w:ascii="Arial" w:eastAsia="Arial" w:hAnsi="Arial" w:cs="Arial"/>
        <w:b/>
        <w:bCs/>
        <w:i w:val="0"/>
        <w:strike w:val="0"/>
        <w:dstrike w:val="0"/>
        <w:color w:val="0A25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7A9FB8">
      <w:start w:val="1"/>
      <w:numFmt w:val="lowerLetter"/>
      <w:lvlText w:val="%8"/>
      <w:lvlJc w:val="left"/>
      <w:pPr>
        <w:ind w:left="5520"/>
      </w:pPr>
      <w:rPr>
        <w:rFonts w:ascii="Arial" w:eastAsia="Arial" w:hAnsi="Arial" w:cs="Arial"/>
        <w:b/>
        <w:bCs/>
        <w:i w:val="0"/>
        <w:strike w:val="0"/>
        <w:dstrike w:val="0"/>
        <w:color w:val="0A25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EAC360">
      <w:start w:val="1"/>
      <w:numFmt w:val="lowerRoman"/>
      <w:lvlText w:val="%9"/>
      <w:lvlJc w:val="left"/>
      <w:pPr>
        <w:ind w:left="6240"/>
      </w:pPr>
      <w:rPr>
        <w:rFonts w:ascii="Arial" w:eastAsia="Arial" w:hAnsi="Arial" w:cs="Arial"/>
        <w:b/>
        <w:bCs/>
        <w:i w:val="0"/>
        <w:strike w:val="0"/>
        <w:dstrike w:val="0"/>
        <w:color w:val="0A254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83507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5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C21"/>
    <w:rsid w:val="003A5FF1"/>
    <w:rsid w:val="003D599B"/>
    <w:rsid w:val="006E411E"/>
    <w:rsid w:val="008D4C21"/>
    <w:rsid w:val="00BF02C7"/>
    <w:rsid w:val="00ED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C3D680"/>
  <w15:docId w15:val="{F100A1D1-C006-4E49-9453-17E8F61F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C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80"/>
      <w:ind w:left="130" w:hanging="10"/>
    </w:pPr>
    <w:rPr>
      <w:rFonts w:ascii="Arial" w:eastAsia="Arial" w:hAnsi="Arial" w:cs="Arial"/>
      <w:color w:val="1A1A2E"/>
      <w:sz w:val="18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227" w:line="259" w:lineRule="auto"/>
      <w:ind w:left="130" w:hanging="10"/>
      <w:outlineLvl w:val="0"/>
    </w:pPr>
    <w:rPr>
      <w:rFonts w:ascii="Arial" w:eastAsia="Arial" w:hAnsi="Arial" w:cs="Arial"/>
      <w:b/>
      <w:color w:val="0A254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A254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keywords/>
  <cp:lastModifiedBy>Malachy Shattock-Goodwin</cp:lastModifiedBy>
  <cp:revision>2</cp:revision>
  <dcterms:created xsi:type="dcterms:W3CDTF">2026-07-31T14:08:00Z</dcterms:created>
  <dcterms:modified xsi:type="dcterms:W3CDTF">2026-07-31T14:08:00Z</dcterms:modified>
</cp:coreProperties>
</file>