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048CE" w:rsidRDefault="00D048CE" w:rsidP="00D048CE">
      <w:pPr>
        <w:rPr>
          <w:b/>
          <w:bCs/>
        </w:rPr>
      </w:pPr>
      <w:r w:rsidRPr="00D048CE">
        <w:rPr>
          <w:b/>
          <w:bCs/>
        </w:rPr>
        <w:t>CUSTOMS BROKERAGE AGREEMENT</w:t>
      </w:r>
    </w:p>
    <w:p w:rsidR="00D048CE" w:rsidRPr="00D048CE" w:rsidRDefault="00D048CE" w:rsidP="00D048CE">
      <w:pPr>
        <w:rPr>
          <w:b/>
          <w:bCs/>
        </w:rPr>
      </w:pPr>
    </w:p>
    <w:p w:rsidR="00D048CE" w:rsidRPr="00D048CE" w:rsidRDefault="00D048CE" w:rsidP="00D048CE">
      <w:r w:rsidRPr="00D048CE">
        <w:rPr>
          <w:b/>
          <w:bCs/>
        </w:rPr>
        <w:t>This Agreement</w:t>
      </w:r>
      <w:r w:rsidRPr="00D048CE">
        <w:t xml:space="preserve"> is made on this ___ day of ________</w:t>
      </w:r>
      <w:r w:rsidRPr="00D048CE">
        <w:rPr>
          <w:b/>
          <w:bCs/>
        </w:rPr>
        <w:t>, 20</w:t>
      </w:r>
      <w:r w:rsidRPr="00D048CE">
        <w:t>,</w:t>
      </w:r>
      <w:r w:rsidRPr="00D048CE">
        <w:br/>
      </w:r>
      <w:r w:rsidRPr="00D048CE">
        <w:rPr>
          <w:b/>
          <w:bCs/>
        </w:rPr>
        <w:t>Between</w:t>
      </w:r>
      <w:r w:rsidRPr="00D048CE">
        <w:br/>
      </w:r>
      <w:r w:rsidRPr="00D048CE">
        <w:rPr>
          <w:b/>
          <w:bCs/>
        </w:rPr>
        <w:t xml:space="preserve">A&amp;S </w:t>
      </w:r>
      <w:proofErr w:type="spellStart"/>
      <w:r w:rsidRPr="00D048CE">
        <w:rPr>
          <w:b/>
          <w:bCs/>
        </w:rPr>
        <w:t>Logistique</w:t>
      </w:r>
      <w:proofErr w:type="spellEnd"/>
      <w:r w:rsidRPr="00D048CE">
        <w:rPr>
          <w:b/>
          <w:bCs/>
        </w:rPr>
        <w:t xml:space="preserve"> Mondiale Ltd LLC</w:t>
      </w:r>
      <w:r w:rsidRPr="00D048CE">
        <w:t xml:space="preserve"> (hereinafter referred to as </w:t>
      </w:r>
      <w:r w:rsidRPr="00D048CE">
        <w:rPr>
          <w:i/>
          <w:iCs/>
        </w:rPr>
        <w:t>“the Broker”</w:t>
      </w:r>
      <w:r w:rsidRPr="00D048CE">
        <w:t>),</w:t>
      </w:r>
      <w:r w:rsidRPr="00D048CE">
        <w:br/>
        <w:t>a company duly registered in the State of Kentucky, U.S.A., with an operating branch in the Republic of Trinidad &amp; Tobago,</w:t>
      </w:r>
      <w:r w:rsidRPr="00D048CE">
        <w:br/>
      </w:r>
      <w:r w:rsidRPr="00D048CE">
        <w:rPr>
          <w:b/>
          <w:bCs/>
        </w:rPr>
        <w:t>and</w:t>
      </w:r>
      <w:r w:rsidRPr="00D048CE">
        <w:br/>
      </w:r>
      <w:r w:rsidRPr="00D048CE">
        <w:rPr>
          <w:b/>
          <w:bCs/>
        </w:rPr>
        <w:t>________________________________________</w:t>
      </w:r>
      <w:r w:rsidRPr="00D048CE">
        <w:t xml:space="preserve"> (hereinafter referred to as </w:t>
      </w:r>
      <w:r w:rsidRPr="00D048CE">
        <w:rPr>
          <w:i/>
          <w:iCs/>
        </w:rPr>
        <w:t>“the Client”</w:t>
      </w:r>
      <w:r w:rsidRPr="00D048CE">
        <w:t>),</w:t>
      </w:r>
      <w:r w:rsidRPr="00D048CE">
        <w:br/>
        <w:t>a company incorporated under the laws of ______________________________________, having its principal place of business at ________________________________________________________.</w:t>
      </w:r>
    </w:p>
    <w:p w:rsidR="00D048CE" w:rsidRPr="00D048CE" w:rsidRDefault="00694517" w:rsidP="00D048CE">
      <w:r w:rsidRPr="00D048CE">
        <w:rPr>
          <w:noProof/>
        </w:rPr>
        <w:pict>
          <v:rect id="_x0000_i1034" alt="" style="width:468pt;height:.05pt;mso-width-percent:0;mso-height-percent:0;mso-width-percent:0;mso-height-percent:0" o:hralign="center" o:hrstd="t" o:hr="t" fillcolor="#a0a0a0" stroked="f"/>
        </w:pict>
      </w:r>
    </w:p>
    <w:p w:rsidR="00D048CE" w:rsidRPr="00D048CE" w:rsidRDefault="00D048CE" w:rsidP="00D048CE">
      <w:pPr>
        <w:rPr>
          <w:b/>
          <w:bCs/>
        </w:rPr>
      </w:pPr>
      <w:r w:rsidRPr="00D048CE">
        <w:rPr>
          <w:b/>
          <w:bCs/>
        </w:rPr>
        <w:t>1. PURPOSE</w:t>
      </w:r>
    </w:p>
    <w:p w:rsidR="00D048CE" w:rsidRPr="00D048CE" w:rsidRDefault="00D048CE" w:rsidP="00D048CE">
      <w:r w:rsidRPr="00D048CE">
        <w:t xml:space="preserve">The Client hereby engages the Broker to act as its appointed </w:t>
      </w:r>
      <w:r w:rsidRPr="00D048CE">
        <w:rPr>
          <w:b/>
          <w:bCs/>
        </w:rPr>
        <w:t>Customs Brokerage and Freight Coordination Agent</w:t>
      </w:r>
      <w:r w:rsidRPr="00D048CE">
        <w:t>, to handle import, export, and clearance of goods, and to provide related documentation and logistics services on the Client’s behalf.</w:t>
      </w:r>
    </w:p>
    <w:p w:rsidR="00D048CE" w:rsidRPr="00D048CE" w:rsidRDefault="00694517" w:rsidP="00D048CE">
      <w:r w:rsidRPr="00D048CE">
        <w:rPr>
          <w:noProof/>
        </w:rPr>
        <w:pict>
          <v:rect id="_x0000_i1033" alt="" style="width:468pt;height:.05pt;mso-width-percent:0;mso-height-percent:0;mso-width-percent:0;mso-height-percent:0" o:hralign="center" o:hrstd="t" o:hr="t" fillcolor="#a0a0a0" stroked="f"/>
        </w:pict>
      </w:r>
    </w:p>
    <w:p w:rsidR="00D048CE" w:rsidRPr="00D048CE" w:rsidRDefault="00D048CE" w:rsidP="00D048CE">
      <w:pPr>
        <w:rPr>
          <w:b/>
          <w:bCs/>
        </w:rPr>
      </w:pPr>
      <w:r w:rsidRPr="00D048CE">
        <w:rPr>
          <w:b/>
          <w:bCs/>
        </w:rPr>
        <w:t>2. SCOPE OF SERVICES</w:t>
      </w:r>
    </w:p>
    <w:p w:rsidR="00D048CE" w:rsidRPr="00D048CE" w:rsidRDefault="00D048CE" w:rsidP="00D048CE">
      <w:r w:rsidRPr="00D048CE">
        <w:t>The Broker shall provide, as requested by the Client:</w:t>
      </w:r>
    </w:p>
    <w:p w:rsidR="00D048CE" w:rsidRPr="00D048CE" w:rsidRDefault="00D048CE" w:rsidP="00D048CE">
      <w:pPr>
        <w:numPr>
          <w:ilvl w:val="0"/>
          <w:numId w:val="1"/>
        </w:numPr>
      </w:pPr>
      <w:r w:rsidRPr="00D048CE">
        <w:t>Preparation and submission of import and export documentation to Customs &amp; Excise.</w:t>
      </w:r>
    </w:p>
    <w:p w:rsidR="00D048CE" w:rsidRPr="00D048CE" w:rsidRDefault="00D048CE" w:rsidP="00D048CE">
      <w:pPr>
        <w:numPr>
          <w:ilvl w:val="0"/>
          <w:numId w:val="1"/>
        </w:numPr>
      </w:pPr>
      <w:r w:rsidRPr="00D048CE">
        <w:t>Application for import/export licenses and permits as required by law.</w:t>
      </w:r>
    </w:p>
    <w:p w:rsidR="00D048CE" w:rsidRPr="00D048CE" w:rsidRDefault="00D048CE" w:rsidP="00D048CE">
      <w:pPr>
        <w:numPr>
          <w:ilvl w:val="0"/>
          <w:numId w:val="1"/>
        </w:numPr>
      </w:pPr>
      <w:r w:rsidRPr="00D048CE">
        <w:t>Coordination of containerized transport, ocean freight, and delivery to the Client’s premises.</w:t>
      </w:r>
    </w:p>
    <w:p w:rsidR="00D048CE" w:rsidRPr="00D048CE" w:rsidRDefault="00D048CE" w:rsidP="00D048CE">
      <w:pPr>
        <w:numPr>
          <w:ilvl w:val="0"/>
          <w:numId w:val="1"/>
        </w:numPr>
      </w:pPr>
      <w:r w:rsidRPr="00D048CE">
        <w:t>Payment of duties, taxes, and levies on behalf of the Client, where authorized.</w:t>
      </w:r>
    </w:p>
    <w:p w:rsidR="00D048CE" w:rsidRPr="00D048CE" w:rsidRDefault="00D048CE" w:rsidP="00D048CE">
      <w:pPr>
        <w:numPr>
          <w:ilvl w:val="0"/>
          <w:numId w:val="1"/>
        </w:numPr>
      </w:pPr>
      <w:r w:rsidRPr="00D048CE">
        <w:t>Secure electronic transmission, storage, and management of customs and trade data.</w:t>
      </w:r>
    </w:p>
    <w:p w:rsidR="00D048CE" w:rsidRPr="00D048CE" w:rsidRDefault="00D048CE" w:rsidP="00D048CE">
      <w:pPr>
        <w:numPr>
          <w:ilvl w:val="0"/>
          <w:numId w:val="1"/>
        </w:numPr>
      </w:pPr>
      <w:r w:rsidRPr="00D048CE">
        <w:t>Advisory support on tariff classification, valuation, and regulatory compliance.</w:t>
      </w:r>
    </w:p>
    <w:p w:rsidR="00D048CE" w:rsidRPr="00D048CE" w:rsidRDefault="00694517" w:rsidP="00D048CE">
      <w:r w:rsidRPr="00D048CE">
        <w:rPr>
          <w:noProof/>
        </w:rPr>
        <w:pict>
          <v:rect id="_x0000_i1032" alt="" style="width:468pt;height:.05pt;mso-width-percent:0;mso-height-percent:0;mso-width-percent:0;mso-height-percent:0" o:hralign="center" o:hrstd="t" o:hr="t" fillcolor="#a0a0a0" stroked="f"/>
        </w:pict>
      </w:r>
    </w:p>
    <w:p w:rsidR="00D048CE" w:rsidRPr="00D048CE" w:rsidRDefault="00D048CE" w:rsidP="00D048CE">
      <w:pPr>
        <w:rPr>
          <w:b/>
          <w:bCs/>
        </w:rPr>
      </w:pPr>
      <w:r w:rsidRPr="00D048CE">
        <w:rPr>
          <w:b/>
          <w:bCs/>
        </w:rPr>
        <w:t>3. AUTHORIZATION</w:t>
      </w:r>
    </w:p>
    <w:p w:rsidR="00D048CE" w:rsidRPr="00D048CE" w:rsidRDefault="00D048CE" w:rsidP="00D048CE">
      <w:r w:rsidRPr="00D048CE">
        <w:t xml:space="preserve">The Client shall issue to the Broker a </w:t>
      </w:r>
      <w:r w:rsidRPr="00D048CE">
        <w:rPr>
          <w:b/>
          <w:bCs/>
        </w:rPr>
        <w:t>Power of Attorney (POA)</w:t>
      </w:r>
      <w:r w:rsidRPr="00D048CE">
        <w:t xml:space="preserve"> authorizing the Broker or its appointed licensed customs officer to act on its behalf in all Customs-related matters.</w:t>
      </w:r>
    </w:p>
    <w:p w:rsidR="00D048CE" w:rsidRPr="00D048CE" w:rsidRDefault="00694517" w:rsidP="00D048CE">
      <w:r w:rsidRPr="00D048CE">
        <w:rPr>
          <w:noProof/>
        </w:rPr>
        <w:pict>
          <v:rect id="_x0000_i1031" alt="" style="width:468pt;height:.05pt;mso-width-percent:0;mso-height-percent:0;mso-width-percent:0;mso-height-percent:0" o:hralign="center" o:hrstd="t" o:hr="t" fillcolor="#a0a0a0" stroked="f"/>
        </w:pict>
      </w:r>
    </w:p>
    <w:p w:rsidR="00D048CE" w:rsidRPr="00D048CE" w:rsidRDefault="00D048CE" w:rsidP="00D048CE">
      <w:pPr>
        <w:rPr>
          <w:b/>
          <w:bCs/>
        </w:rPr>
      </w:pPr>
      <w:r w:rsidRPr="00D048CE">
        <w:rPr>
          <w:b/>
          <w:bCs/>
        </w:rPr>
        <w:t>4. FEES &amp; PAYMENT TERMS</w:t>
      </w:r>
    </w:p>
    <w:p w:rsidR="00D048CE" w:rsidRPr="00D048CE" w:rsidRDefault="00D048CE" w:rsidP="00D048CE">
      <w:pPr>
        <w:numPr>
          <w:ilvl w:val="0"/>
          <w:numId w:val="2"/>
        </w:numPr>
      </w:pPr>
      <w:r w:rsidRPr="00D048CE">
        <w:t xml:space="preserve">All service charges shall be invoiced </w:t>
      </w:r>
      <w:r>
        <w:t>prior to</w:t>
      </w:r>
      <w:r w:rsidRPr="00D048CE">
        <w:t xml:space="preserve"> completion of clearance unless otherwise stated.</w:t>
      </w:r>
    </w:p>
    <w:p w:rsidR="00D048CE" w:rsidRPr="00D048CE" w:rsidRDefault="00D048CE" w:rsidP="00D048CE">
      <w:pPr>
        <w:numPr>
          <w:ilvl w:val="0"/>
          <w:numId w:val="2"/>
        </w:numPr>
      </w:pPr>
      <w:r w:rsidRPr="00D048CE">
        <w:t xml:space="preserve">Payment terms are </w:t>
      </w:r>
      <w:r w:rsidRPr="00D048CE">
        <w:rPr>
          <w:b/>
          <w:bCs/>
        </w:rPr>
        <w:t xml:space="preserve">Net </w:t>
      </w:r>
      <w:r>
        <w:rPr>
          <w:b/>
          <w:bCs/>
        </w:rPr>
        <w:t>1</w:t>
      </w:r>
      <w:r w:rsidRPr="00D048CE">
        <w:rPr>
          <w:b/>
          <w:bCs/>
        </w:rPr>
        <w:t>0 Days</w:t>
      </w:r>
      <w:r w:rsidRPr="00D048CE">
        <w:t xml:space="preserve"> from the date of invoice, unless extended in writing.</w:t>
      </w:r>
    </w:p>
    <w:p w:rsidR="00D048CE" w:rsidRPr="00D048CE" w:rsidRDefault="00D048CE" w:rsidP="00D048CE">
      <w:pPr>
        <w:numPr>
          <w:ilvl w:val="0"/>
          <w:numId w:val="2"/>
        </w:numPr>
      </w:pPr>
      <w:r w:rsidRPr="00D048CE">
        <w:t xml:space="preserve">Disbursements for duties, freight, and government fees must be prepaid or funded via the Client’s </w:t>
      </w:r>
      <w:r w:rsidRPr="00D048CE">
        <w:rPr>
          <w:b/>
          <w:bCs/>
        </w:rPr>
        <w:t>Duty Escrow Account</w:t>
      </w:r>
      <w:r w:rsidRPr="00D048CE">
        <w:t xml:space="preserve"> maintained by the Broker.</w:t>
      </w:r>
    </w:p>
    <w:p w:rsidR="00D048CE" w:rsidRPr="00D048CE" w:rsidRDefault="00D048CE" w:rsidP="00D048CE">
      <w:pPr>
        <w:numPr>
          <w:ilvl w:val="0"/>
          <w:numId w:val="2"/>
        </w:numPr>
      </w:pPr>
      <w:r w:rsidRPr="00D048CE">
        <w:t>Interest of 2% per month may apply to overdue balances.</w:t>
      </w:r>
    </w:p>
    <w:p w:rsidR="00D048CE" w:rsidRPr="00D048CE" w:rsidRDefault="00D048CE" w:rsidP="00D048CE">
      <w:pPr>
        <w:numPr>
          <w:ilvl w:val="0"/>
          <w:numId w:val="2"/>
        </w:numPr>
      </w:pPr>
      <w:r w:rsidRPr="00D048CE">
        <w:t xml:space="preserve">Freight charges are due and payable in full upon acceptance of the Broker's quotation, prior to the commencement of services, and must be settled by </w:t>
      </w:r>
      <w:r w:rsidRPr="00D048CE">
        <w:rPr>
          <w:b/>
          <w:bCs/>
        </w:rPr>
        <w:t>Bank Deposit, Certified Cheque, or ACH Transfer</w:t>
      </w:r>
      <w:r w:rsidRPr="00D048CE">
        <w:t>. The Broker does not accept cash, personal cheques, or uncertified instruments unless expressly agreed to in writing.</w:t>
      </w:r>
    </w:p>
    <w:p w:rsidR="00D048CE" w:rsidRPr="00D048CE" w:rsidRDefault="00D048CE" w:rsidP="00D048CE">
      <w:pPr>
        <w:numPr>
          <w:ilvl w:val="0"/>
          <w:numId w:val="2"/>
        </w:numPr>
      </w:pPr>
      <w:r w:rsidRPr="00D048CE">
        <w:t xml:space="preserve">Where charges are quoted or invoiced in Trinidad and Tobago Dollars (TTD) and payment is required or made in United States Dollars (USD), or vice versa, conversion shall be calculated at the Broker's applicable Rate of Exchange, currently fixed at </w:t>
      </w:r>
      <w:r w:rsidRPr="00D048CE">
        <w:rPr>
          <w:b/>
          <w:bCs/>
        </w:rPr>
        <w:t>TTD $7.50 to USD $1.00</w:t>
      </w:r>
      <w:r w:rsidRPr="00D048CE">
        <w:t>. This rate is set by the Broker and is subject to change without prior notice to reflect prevailing market or banking conditions.</w:t>
      </w:r>
    </w:p>
    <w:p w:rsidR="00D048CE" w:rsidRPr="00D048CE" w:rsidRDefault="00D048CE" w:rsidP="00D048CE">
      <w:pPr>
        <w:numPr>
          <w:ilvl w:val="0"/>
          <w:numId w:val="2"/>
        </w:numPr>
      </w:pPr>
      <w:r w:rsidRPr="00D048CE">
        <w:t>The Broker highly recommends that the Client obtain Maritime Cargo Insurance for all shipments. Insurance will only be arranged by the Broker upon receipt of the Client's written instructions, and the Broker acts solely as an agent in this regard; goods travel at the Client's own risk in the absence of such instructions.</w:t>
      </w:r>
    </w:p>
    <w:p w:rsidR="00D048CE" w:rsidRPr="00D048CE" w:rsidRDefault="00694517" w:rsidP="00D048CE">
      <w:r w:rsidRPr="00D048CE">
        <w:rPr>
          <w:noProof/>
        </w:rPr>
        <w:pict>
          <v:rect id="_x0000_i1030" alt="" style="width:468pt;height:.05pt;mso-width-percent:0;mso-height-percent:0;mso-width-percent:0;mso-height-percent:0" o:hralign="center" o:hrstd="t" o:hr="t" fillcolor="#a0a0a0" stroked="f"/>
        </w:pict>
      </w:r>
    </w:p>
    <w:p w:rsidR="00D048CE" w:rsidRPr="00D048CE" w:rsidRDefault="00D048CE" w:rsidP="00D048CE">
      <w:pPr>
        <w:rPr>
          <w:b/>
          <w:bCs/>
        </w:rPr>
      </w:pPr>
      <w:r w:rsidRPr="00D048CE">
        <w:rPr>
          <w:b/>
          <w:bCs/>
        </w:rPr>
        <w:t>5. CONFIDENTIALITY &amp; DATA SECURITY</w:t>
      </w:r>
    </w:p>
    <w:p w:rsidR="00D048CE" w:rsidRDefault="00D048CE" w:rsidP="00D048CE">
      <w:r w:rsidRPr="00D048CE">
        <w:t xml:space="preserve">The Broker agrees to maintain full confidentiality </w:t>
      </w:r>
      <w:proofErr w:type="spellStart"/>
      <w:r w:rsidRPr="00D048CE">
        <w:t>over all</w:t>
      </w:r>
      <w:proofErr w:type="spellEnd"/>
      <w:r w:rsidRPr="00D048CE">
        <w:t xml:space="preserve"> trade data, shipping documents, and client records.</w:t>
      </w:r>
      <w:r w:rsidRPr="00D048CE">
        <w:br/>
      </w:r>
      <w:r w:rsidRPr="00D048CE">
        <w:lastRenderedPageBreak/>
        <w:t>All information shall be securely stored using encrypted digital systems and released only to authorized personnel or government authorities as required by law.</w:t>
      </w:r>
    </w:p>
    <w:p w:rsidR="00D048CE" w:rsidRPr="00D048CE" w:rsidRDefault="00D048CE" w:rsidP="00D048CE">
      <w:r w:rsidRPr="00D048CE">
        <w:br/>
        <w:t>The Broker’s operations comply with international data protection and logistics privacy standards.</w:t>
      </w:r>
    </w:p>
    <w:p w:rsidR="00D048CE" w:rsidRPr="00D048CE" w:rsidRDefault="00694517" w:rsidP="00D048CE">
      <w:r w:rsidRPr="00D048CE">
        <w:rPr>
          <w:noProof/>
        </w:rPr>
        <w:pict>
          <v:rect id="_x0000_i1029" alt="" style="width:468pt;height:.05pt;mso-width-percent:0;mso-height-percent:0;mso-width-percent:0;mso-height-percent:0" o:hralign="center" o:hrstd="t" o:hr="t" fillcolor="#a0a0a0" stroked="f"/>
        </w:pict>
      </w:r>
    </w:p>
    <w:p w:rsidR="00D048CE" w:rsidRPr="00D048CE" w:rsidRDefault="00D048CE" w:rsidP="00D048CE">
      <w:pPr>
        <w:rPr>
          <w:b/>
          <w:bCs/>
        </w:rPr>
      </w:pPr>
      <w:r w:rsidRPr="00D048CE">
        <w:rPr>
          <w:b/>
          <w:bCs/>
        </w:rPr>
        <w:t>6. LIABILITY</w:t>
      </w:r>
    </w:p>
    <w:p w:rsidR="00D048CE" w:rsidRPr="00D048CE" w:rsidRDefault="00D048CE" w:rsidP="00D048CE">
      <w:pPr>
        <w:numPr>
          <w:ilvl w:val="0"/>
          <w:numId w:val="3"/>
        </w:numPr>
      </w:pPr>
      <w:r w:rsidRPr="00D048CE">
        <w:t>The Broker shall exercise reasonable care and due diligence in performing its duties.</w:t>
      </w:r>
    </w:p>
    <w:p w:rsidR="00D048CE" w:rsidRPr="00D048CE" w:rsidRDefault="00D048CE" w:rsidP="00D048CE">
      <w:pPr>
        <w:numPr>
          <w:ilvl w:val="0"/>
          <w:numId w:val="3"/>
        </w:numPr>
      </w:pPr>
      <w:r w:rsidRPr="00D048CE">
        <w:t>The Broker shall not be liable for delays, loss, or damage arising from causes beyond its control, including port congestion, customs inspection delays, acts of God, or force majeure.</w:t>
      </w:r>
    </w:p>
    <w:p w:rsidR="00D048CE" w:rsidRPr="00D048CE" w:rsidRDefault="00D048CE" w:rsidP="00D048CE">
      <w:pPr>
        <w:numPr>
          <w:ilvl w:val="0"/>
          <w:numId w:val="3"/>
        </w:numPr>
      </w:pPr>
      <w:r w:rsidRPr="00D048CE">
        <w:t>The Broker’s liability shall be limited to the total service fee charged per transaction unless otherwise agreed in writing.</w:t>
      </w:r>
    </w:p>
    <w:p w:rsidR="00D048CE" w:rsidRPr="00D048CE" w:rsidRDefault="00694517" w:rsidP="00D048CE">
      <w:r w:rsidRPr="00D048CE">
        <w:rPr>
          <w:noProof/>
        </w:rPr>
        <w:pict>
          <v:rect id="_x0000_i1028" alt="" style="width:468pt;height:.05pt;mso-width-percent:0;mso-height-percent:0;mso-width-percent:0;mso-height-percent:0" o:hralign="center" o:hrstd="t" o:hr="t" fillcolor="#a0a0a0" stroked="f"/>
        </w:pict>
      </w:r>
    </w:p>
    <w:p w:rsidR="00D048CE" w:rsidRPr="00D048CE" w:rsidRDefault="00D048CE" w:rsidP="00D048CE">
      <w:pPr>
        <w:rPr>
          <w:b/>
          <w:bCs/>
        </w:rPr>
      </w:pPr>
      <w:r w:rsidRPr="00D048CE">
        <w:rPr>
          <w:b/>
          <w:bCs/>
        </w:rPr>
        <w:t>7. TERMINATION</w:t>
      </w:r>
    </w:p>
    <w:p w:rsidR="00D048CE" w:rsidRPr="00D048CE" w:rsidRDefault="00D048CE" w:rsidP="00D048CE">
      <w:r w:rsidRPr="00D048CE">
        <w:t>Either party may terminate this Agreement by providing thirty (30) days’ written notice.</w:t>
      </w:r>
      <w:r w:rsidRPr="00D048CE">
        <w:br/>
        <w:t>All outstanding fees and charges incurred prior to termination shall remain payable in full.</w:t>
      </w:r>
    </w:p>
    <w:p w:rsidR="00D048CE" w:rsidRPr="00D048CE" w:rsidRDefault="00694517" w:rsidP="00D048CE">
      <w:r w:rsidRPr="00D048CE">
        <w:rPr>
          <w:noProof/>
        </w:rPr>
        <w:pict>
          <v:rect id="_x0000_i1027" alt="" style="width:468pt;height:.05pt;mso-width-percent:0;mso-height-percent:0;mso-width-percent:0;mso-height-percent:0" o:hralign="center" o:hrstd="t" o:hr="t" fillcolor="#a0a0a0" stroked="f"/>
        </w:pict>
      </w:r>
    </w:p>
    <w:p w:rsidR="00D048CE" w:rsidRPr="00D048CE" w:rsidRDefault="00D048CE" w:rsidP="00D048CE">
      <w:pPr>
        <w:rPr>
          <w:b/>
          <w:bCs/>
        </w:rPr>
      </w:pPr>
      <w:r w:rsidRPr="00D048CE">
        <w:rPr>
          <w:b/>
          <w:bCs/>
        </w:rPr>
        <w:t>8. GOVERNING LAW</w:t>
      </w:r>
    </w:p>
    <w:p w:rsidR="00D048CE" w:rsidRPr="00D048CE" w:rsidRDefault="00D048CE" w:rsidP="00D048CE">
      <w:r w:rsidRPr="00D048CE">
        <w:t xml:space="preserve">This Agreement shall be governed by and construed in accordance with the laws of the </w:t>
      </w:r>
      <w:r w:rsidRPr="00D048CE">
        <w:rPr>
          <w:b/>
          <w:bCs/>
        </w:rPr>
        <w:t>Republic of Trinidad &amp; Tobago</w:t>
      </w:r>
      <w:r w:rsidRPr="00D048CE">
        <w:t xml:space="preserve">, and where applicable, the </w:t>
      </w:r>
      <w:r w:rsidRPr="00D048CE">
        <w:rPr>
          <w:b/>
          <w:bCs/>
        </w:rPr>
        <w:t>State of Kentucky, U.S.A.</w:t>
      </w:r>
    </w:p>
    <w:p w:rsidR="00D048CE" w:rsidRPr="00D048CE" w:rsidRDefault="00694517" w:rsidP="00D048CE">
      <w:r w:rsidRPr="00D048CE">
        <w:rPr>
          <w:noProof/>
        </w:rPr>
        <w:pict>
          <v:rect id="_x0000_i1026" alt="" style="width:468pt;height:.05pt;mso-width-percent:0;mso-height-percent:0;mso-width-percent:0;mso-height-percent:0" o:hralign="center" o:hrstd="t" o:hr="t" fillcolor="#a0a0a0" stroked="f"/>
        </w:pict>
      </w:r>
    </w:p>
    <w:p w:rsidR="00D048CE" w:rsidRPr="00D048CE" w:rsidRDefault="00D048CE" w:rsidP="00D048CE">
      <w:pPr>
        <w:rPr>
          <w:b/>
          <w:bCs/>
        </w:rPr>
      </w:pPr>
      <w:r w:rsidRPr="00D048CE">
        <w:rPr>
          <w:b/>
          <w:bCs/>
        </w:rPr>
        <w:t>9. ENTIRE AGREEMENT</w:t>
      </w:r>
    </w:p>
    <w:p w:rsidR="00D048CE" w:rsidRPr="00D048CE" w:rsidRDefault="00D048CE" w:rsidP="00D048CE">
      <w:r w:rsidRPr="00D048CE">
        <w:t>This document constitutes the entire agreement between the parties and supersedes all prior communications or representations.</w:t>
      </w:r>
      <w:r w:rsidRPr="00D048CE">
        <w:br/>
        <w:t>Any amendment or variation shall be made in writing and signed by both parties.</w:t>
      </w:r>
    </w:p>
    <w:p w:rsidR="00D048CE" w:rsidRPr="00D048CE" w:rsidRDefault="00694517" w:rsidP="00D048CE">
      <w:r w:rsidRPr="00D048CE">
        <w:rPr>
          <w:noProof/>
        </w:rPr>
        <w:pict>
          <v:rect id="_x0000_i1025" alt="" style="width:468pt;height:.05pt;mso-width-percent:0;mso-height-percent:0;mso-width-percent:0;mso-height-percent:0" o:hralign="center" o:hrstd="t" o:hr="t" fillcolor="#a0a0a0" stroked="f"/>
        </w:pict>
      </w:r>
    </w:p>
    <w:p w:rsidR="00D048CE" w:rsidRDefault="00D048CE" w:rsidP="00D048CE">
      <w:pPr>
        <w:rPr>
          <w:b/>
          <w:bCs/>
        </w:rPr>
      </w:pPr>
      <w:r w:rsidRPr="00D048CE">
        <w:rPr>
          <w:b/>
          <w:bCs/>
        </w:rPr>
        <w:t>IN WITNESS WHEREOF, the parties hereto have executed this Agreement as of the date first above written.</w:t>
      </w:r>
    </w:p>
    <w:p w:rsidR="00D048CE" w:rsidRDefault="00D048CE" w:rsidP="00D048CE">
      <w:pPr>
        <w:rPr>
          <w:b/>
          <w:bCs/>
        </w:rPr>
      </w:pPr>
    </w:p>
    <w:p w:rsidR="00D048CE" w:rsidRPr="00D048CE" w:rsidRDefault="00D048CE" w:rsidP="00D048CE">
      <w:pPr>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94"/>
        <w:gridCol w:w="3739"/>
      </w:tblGrid>
      <w:tr w:rsidR="00D048CE" w:rsidRPr="00D048CE" w:rsidTr="00D048CE">
        <w:trPr>
          <w:tblHeader/>
          <w:tblCellSpacing w:w="15" w:type="dxa"/>
        </w:trPr>
        <w:tc>
          <w:tcPr>
            <w:tcW w:w="0" w:type="auto"/>
            <w:vAlign w:val="center"/>
            <w:hideMark/>
          </w:tcPr>
          <w:p w:rsidR="00D048CE" w:rsidRPr="00D048CE" w:rsidRDefault="00D048CE" w:rsidP="00D048CE">
            <w:pPr>
              <w:rPr>
                <w:b/>
                <w:bCs/>
              </w:rPr>
            </w:pPr>
            <w:r w:rsidRPr="00D048CE">
              <w:rPr>
                <w:b/>
                <w:bCs/>
              </w:rPr>
              <w:t xml:space="preserve">For and on behalf of A&amp;S </w:t>
            </w:r>
            <w:proofErr w:type="spellStart"/>
            <w:r w:rsidRPr="00D048CE">
              <w:rPr>
                <w:b/>
                <w:bCs/>
              </w:rPr>
              <w:t>Logistique</w:t>
            </w:r>
            <w:proofErr w:type="spellEnd"/>
            <w:r w:rsidRPr="00D048CE">
              <w:rPr>
                <w:b/>
                <w:bCs/>
              </w:rPr>
              <w:t xml:space="preserve"> Mondiale Ltd LLC</w:t>
            </w:r>
          </w:p>
        </w:tc>
        <w:tc>
          <w:tcPr>
            <w:tcW w:w="0" w:type="auto"/>
            <w:vAlign w:val="center"/>
            <w:hideMark/>
          </w:tcPr>
          <w:p w:rsidR="00D048CE" w:rsidRPr="00D048CE" w:rsidRDefault="00D048CE" w:rsidP="00D048CE">
            <w:pPr>
              <w:rPr>
                <w:b/>
                <w:bCs/>
              </w:rPr>
            </w:pPr>
            <w:r w:rsidRPr="00D048CE">
              <w:rPr>
                <w:b/>
                <w:bCs/>
              </w:rPr>
              <w:t>For and on behalf of the Client</w:t>
            </w:r>
          </w:p>
        </w:tc>
      </w:tr>
      <w:tr w:rsidR="00D048CE" w:rsidRPr="00D048CE" w:rsidTr="00D048CE">
        <w:trPr>
          <w:tblCellSpacing w:w="15" w:type="dxa"/>
        </w:trPr>
        <w:tc>
          <w:tcPr>
            <w:tcW w:w="0" w:type="auto"/>
            <w:vAlign w:val="center"/>
            <w:hideMark/>
          </w:tcPr>
          <w:p w:rsidR="00D048CE" w:rsidRPr="00D048CE" w:rsidRDefault="00D048CE" w:rsidP="00D048CE">
            <w:r w:rsidRPr="00D048CE">
              <w:t>___________________________</w:t>
            </w:r>
          </w:p>
        </w:tc>
        <w:tc>
          <w:tcPr>
            <w:tcW w:w="0" w:type="auto"/>
            <w:vAlign w:val="center"/>
            <w:hideMark/>
          </w:tcPr>
          <w:p w:rsidR="00D048CE" w:rsidRPr="00D048CE" w:rsidRDefault="00D048CE" w:rsidP="00D048CE">
            <w:r w:rsidRPr="00D048CE">
              <w:t>___________________________</w:t>
            </w:r>
          </w:p>
        </w:tc>
      </w:tr>
      <w:tr w:rsidR="00D048CE" w:rsidRPr="00D048CE" w:rsidTr="00D048CE">
        <w:trPr>
          <w:tblCellSpacing w:w="15" w:type="dxa"/>
        </w:trPr>
        <w:tc>
          <w:tcPr>
            <w:tcW w:w="0" w:type="auto"/>
            <w:vAlign w:val="center"/>
            <w:hideMark/>
          </w:tcPr>
          <w:p w:rsidR="00D048CE" w:rsidRPr="00D048CE" w:rsidRDefault="00D048CE" w:rsidP="00D048CE">
            <w:r w:rsidRPr="00D048CE">
              <w:rPr>
                <w:b/>
                <w:bCs/>
              </w:rPr>
              <w:t xml:space="preserve">Shaquille </w:t>
            </w:r>
            <w:r>
              <w:rPr>
                <w:b/>
                <w:bCs/>
              </w:rPr>
              <w:t xml:space="preserve">J. </w:t>
            </w:r>
            <w:r w:rsidRPr="00D048CE">
              <w:rPr>
                <w:b/>
                <w:bCs/>
              </w:rPr>
              <w:t>Yard</w:t>
            </w:r>
          </w:p>
        </w:tc>
        <w:tc>
          <w:tcPr>
            <w:tcW w:w="0" w:type="auto"/>
            <w:vAlign w:val="center"/>
            <w:hideMark/>
          </w:tcPr>
          <w:p w:rsidR="00D048CE" w:rsidRPr="00D048CE" w:rsidRDefault="00D048CE" w:rsidP="00D048CE">
            <w:r w:rsidRPr="00D048CE">
              <w:rPr>
                <w:b/>
                <w:bCs/>
              </w:rPr>
              <w:t>Authorized Representative</w:t>
            </w:r>
          </w:p>
        </w:tc>
      </w:tr>
      <w:tr w:rsidR="00D048CE" w:rsidRPr="00D048CE" w:rsidTr="00D048CE">
        <w:trPr>
          <w:tblCellSpacing w:w="15" w:type="dxa"/>
        </w:trPr>
        <w:tc>
          <w:tcPr>
            <w:tcW w:w="0" w:type="auto"/>
            <w:vAlign w:val="center"/>
            <w:hideMark/>
          </w:tcPr>
          <w:p w:rsidR="00D048CE" w:rsidRPr="00D048CE" w:rsidRDefault="00D048CE" w:rsidP="00D048CE">
            <w:r>
              <w:t xml:space="preserve">Managing </w:t>
            </w:r>
            <w:r w:rsidRPr="00D048CE">
              <w:t xml:space="preserve">Director — A&amp;S </w:t>
            </w:r>
            <w:proofErr w:type="spellStart"/>
            <w:r w:rsidRPr="00D048CE">
              <w:t>Logistique</w:t>
            </w:r>
            <w:proofErr w:type="spellEnd"/>
            <w:r w:rsidRPr="00D048CE">
              <w:t xml:space="preserve"> Mondiale Ltd LLC</w:t>
            </w:r>
          </w:p>
        </w:tc>
        <w:tc>
          <w:tcPr>
            <w:tcW w:w="0" w:type="auto"/>
            <w:vAlign w:val="center"/>
            <w:hideMark/>
          </w:tcPr>
          <w:p w:rsidR="00D048CE" w:rsidRPr="00D048CE" w:rsidRDefault="00D048CE" w:rsidP="00D048CE">
            <w:r w:rsidRPr="00D048CE">
              <w:t>Designation: ____________________</w:t>
            </w:r>
          </w:p>
        </w:tc>
      </w:tr>
      <w:tr w:rsidR="00D048CE" w:rsidRPr="00D048CE" w:rsidTr="00D048CE">
        <w:trPr>
          <w:tblCellSpacing w:w="15" w:type="dxa"/>
        </w:trPr>
        <w:tc>
          <w:tcPr>
            <w:tcW w:w="0" w:type="auto"/>
            <w:vAlign w:val="center"/>
            <w:hideMark/>
          </w:tcPr>
          <w:p w:rsidR="00D048CE" w:rsidRPr="00D048CE" w:rsidRDefault="00D048CE" w:rsidP="00D048CE">
            <w:r w:rsidRPr="00D048CE">
              <w:t>Date: ____________________</w:t>
            </w:r>
          </w:p>
        </w:tc>
        <w:tc>
          <w:tcPr>
            <w:tcW w:w="0" w:type="auto"/>
            <w:vAlign w:val="center"/>
            <w:hideMark/>
          </w:tcPr>
          <w:p w:rsidR="00D048CE" w:rsidRPr="00D048CE" w:rsidRDefault="00D048CE" w:rsidP="00D048CE">
            <w:r w:rsidRPr="00D048CE">
              <w:t>Date: ____________________</w:t>
            </w:r>
          </w:p>
        </w:tc>
      </w:tr>
    </w:tbl>
    <w:p w:rsidR="00983D38" w:rsidRDefault="00983D38"/>
    <w:sectPr w:rsidR="00983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0515E"/>
    <w:multiLevelType w:val="multilevel"/>
    <w:tmpl w:val="9160A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51A2A"/>
    <w:multiLevelType w:val="multilevel"/>
    <w:tmpl w:val="F18AF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A2954"/>
    <w:multiLevelType w:val="multilevel"/>
    <w:tmpl w:val="7766E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424426">
    <w:abstractNumId w:val="2"/>
  </w:num>
  <w:num w:numId="2" w16cid:durableId="549658712">
    <w:abstractNumId w:val="1"/>
  </w:num>
  <w:num w:numId="3" w16cid:durableId="87092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CE"/>
    <w:rsid w:val="005E5C19"/>
    <w:rsid w:val="00694517"/>
    <w:rsid w:val="00711E30"/>
    <w:rsid w:val="00983D38"/>
    <w:rsid w:val="00B85914"/>
    <w:rsid w:val="00D0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0A66"/>
  <w15:chartTrackingRefBased/>
  <w15:docId w15:val="{1CAB3AB8-A7BE-EE4E-BC03-F1ABB935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806334">
      <w:bodyDiv w:val="1"/>
      <w:marLeft w:val="0"/>
      <w:marRight w:val="0"/>
      <w:marTop w:val="0"/>
      <w:marBottom w:val="0"/>
      <w:divBdr>
        <w:top w:val="none" w:sz="0" w:space="0" w:color="auto"/>
        <w:left w:val="none" w:sz="0" w:space="0" w:color="auto"/>
        <w:bottom w:val="none" w:sz="0" w:space="0" w:color="auto"/>
        <w:right w:val="none" w:sz="0" w:space="0" w:color="auto"/>
      </w:divBdr>
      <w:divsChild>
        <w:div w:id="178928944">
          <w:marLeft w:val="0"/>
          <w:marRight w:val="0"/>
          <w:marTop w:val="0"/>
          <w:marBottom w:val="0"/>
          <w:divBdr>
            <w:top w:val="none" w:sz="0" w:space="0" w:color="auto"/>
            <w:left w:val="none" w:sz="0" w:space="0" w:color="auto"/>
            <w:bottom w:val="none" w:sz="0" w:space="0" w:color="auto"/>
            <w:right w:val="none" w:sz="0" w:space="0" w:color="auto"/>
          </w:divBdr>
          <w:divsChild>
            <w:div w:id="5115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89111">
      <w:bodyDiv w:val="1"/>
      <w:marLeft w:val="0"/>
      <w:marRight w:val="0"/>
      <w:marTop w:val="0"/>
      <w:marBottom w:val="0"/>
      <w:divBdr>
        <w:top w:val="none" w:sz="0" w:space="0" w:color="auto"/>
        <w:left w:val="none" w:sz="0" w:space="0" w:color="auto"/>
        <w:bottom w:val="none" w:sz="0" w:space="0" w:color="auto"/>
        <w:right w:val="none" w:sz="0" w:space="0" w:color="auto"/>
      </w:divBdr>
      <w:divsChild>
        <w:div w:id="1363289263">
          <w:marLeft w:val="0"/>
          <w:marRight w:val="0"/>
          <w:marTop w:val="0"/>
          <w:marBottom w:val="0"/>
          <w:divBdr>
            <w:top w:val="none" w:sz="0" w:space="0" w:color="auto"/>
            <w:left w:val="none" w:sz="0" w:space="0" w:color="auto"/>
            <w:bottom w:val="none" w:sz="0" w:space="0" w:color="auto"/>
            <w:right w:val="none" w:sz="0" w:space="0" w:color="auto"/>
          </w:divBdr>
          <w:divsChild>
            <w:div w:id="299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Shaq JY</dc:creator>
  <cp:keywords/>
  <dc:description/>
  <cp:lastModifiedBy>Shaq JY</cp:lastModifiedBy>
  <cp:revision>1</cp:revision>
  <dcterms:created xsi:type="dcterms:W3CDTF">2025-11-04T20:21:00Z</dcterms:created>
  <dcterms:modified xsi:type="dcterms:W3CDTF">2025-11-04T20:24:00Z</dcterms:modified>
</cp:coreProperties>
</file>